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4953C5" w:rsidTr="00505204">
        <w:tc>
          <w:tcPr>
            <w:tcW w:w="4111" w:type="dxa"/>
          </w:tcPr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QUẬN TÂN BÌNH</w:t>
            </w:r>
          </w:p>
          <w:p w:rsidR="004953C5" w:rsidRDefault="005052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PHÒNG </w:t>
            </w:r>
            <w:r w:rsidR="004953C5">
              <w:rPr>
                <w:rFonts w:ascii="Times New Roman" w:hAnsi="Times New Roman" w:cs="Times New Roman"/>
                <w:b/>
                <w:sz w:val="24"/>
                <w:szCs w:val="24"/>
              </w:rPr>
              <w:t>GIÁO DỤC VÀ ĐÀO TẠO</w:t>
            </w: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37465</wp:posOffset>
                      </wp:positionV>
                      <wp:extent cx="82677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99E8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2.95pt" to="123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53C5" w:rsidRPr="00505204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0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052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4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05204"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</w:p>
          <w:p w:rsidR="004953C5" w:rsidRPr="00505204" w:rsidRDefault="004953C5" w:rsidP="002246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04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hứng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xóa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bạo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648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="00224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50520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4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05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3C5" w:rsidRPr="00505204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5812" w:type="dxa"/>
          </w:tcPr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15240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E817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2pt" to="21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953C5" w:rsidRDefault="004953C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953C5" w:rsidRPr="00505204" w:rsidRDefault="00505204" w:rsidP="0022464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>Tân</w:t>
            </w:r>
            <w:proofErr w:type="spellEnd"/>
            <w:r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>Bình</w:t>
            </w:r>
            <w:proofErr w:type="spellEnd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246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2464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953C5" w:rsidRPr="005052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2464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4953C5" w:rsidRDefault="004953C5" w:rsidP="004953C5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</w:t>
      </w:r>
      <w:r w:rsidR="0022464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MN-TH-THCS (CL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NCL)</w:t>
      </w:r>
    </w:p>
    <w:p w:rsidR="004953C5" w:rsidRDefault="004953C5" w:rsidP="004953C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3C5" w:rsidRPr="00224648" w:rsidRDefault="004953C5" w:rsidP="003436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64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r w:rsidR="00224648">
        <w:rPr>
          <w:rFonts w:ascii="Times New Roman" w:hAnsi="Times New Roman" w:cs="Times New Roman"/>
          <w:sz w:val="28"/>
          <w:szCs w:val="28"/>
        </w:rPr>
        <w:t>354</w:t>
      </w:r>
      <w:r w:rsidRPr="00224648">
        <w:rPr>
          <w:rFonts w:ascii="Times New Roman" w:hAnsi="Times New Roman" w:cs="Times New Roman"/>
          <w:sz w:val="28"/>
          <w:szCs w:val="28"/>
        </w:rPr>
        <w:t>/</w:t>
      </w:r>
      <w:r w:rsidR="00224648">
        <w:rPr>
          <w:rFonts w:ascii="Times New Roman" w:hAnsi="Times New Roman" w:cs="Times New Roman"/>
          <w:sz w:val="28"/>
          <w:szCs w:val="28"/>
        </w:rPr>
        <w:t>KH-UBND</w:t>
      </w:r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r w:rsidR="00224648">
        <w:rPr>
          <w:rFonts w:ascii="Times New Roman" w:hAnsi="Times New Roman" w:cs="Times New Roman"/>
          <w:sz w:val="28"/>
          <w:szCs w:val="28"/>
        </w:rPr>
        <w:t>07</w:t>
      </w:r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r w:rsidR="00224648">
        <w:rPr>
          <w:rFonts w:ascii="Times New Roman" w:hAnsi="Times New Roman" w:cs="Times New Roman"/>
          <w:sz w:val="28"/>
          <w:szCs w:val="28"/>
        </w:rPr>
        <w:t>11</w:t>
      </w:r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202</w:t>
      </w:r>
      <w:r w:rsidR="00224648">
        <w:rPr>
          <w:rFonts w:ascii="Times New Roman" w:hAnsi="Times New Roman" w:cs="Times New Roman"/>
          <w:sz w:val="28"/>
          <w:szCs w:val="28"/>
        </w:rPr>
        <w:t>3</w:t>
      </w:r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(25/11)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64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24648">
        <w:rPr>
          <w:rFonts w:ascii="Times New Roman" w:hAnsi="Times New Roman" w:cs="Times New Roman"/>
          <w:sz w:val="28"/>
          <w:szCs w:val="28"/>
        </w:rPr>
        <w:t xml:space="preserve"> 202</w:t>
      </w:r>
      <w:r w:rsidR="00224648">
        <w:rPr>
          <w:rFonts w:ascii="Times New Roman" w:hAnsi="Times New Roman" w:cs="Times New Roman"/>
          <w:sz w:val="28"/>
          <w:szCs w:val="28"/>
        </w:rPr>
        <w:t>3</w:t>
      </w:r>
      <w:r w:rsidRPr="00224648"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64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24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138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/11</w:t>
      </w:r>
      <w:r w:rsidR="00224648"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24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gái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nhằm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đẳng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xóa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bạo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C1388B" w:rsidRPr="00C13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88B" w:rsidRPr="00C1388B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8B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2019;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138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-CT/TW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1388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45/QĐ-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8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1388B">
        <w:rPr>
          <w:rFonts w:ascii="Times New Roman" w:hAnsi="Times New Roman" w:cs="Times New Roman"/>
          <w:sz w:val="28"/>
          <w:szCs w:val="28"/>
        </w:rPr>
        <w:t xml:space="preserve"> 2030</w:t>
      </w:r>
      <w:r w:rsidR="00CD28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09/CT-UBND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</w:p>
    <w:p w:rsidR="00CD2840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Cử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do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phố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Ủy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ban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dân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quận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="00CD28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2840" w:rsidRDefault="00CD2840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2A9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840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9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9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3C5" w:rsidRPr="00CD2840" w:rsidRDefault="004953C5" w:rsidP="00343615">
      <w:pPr>
        <w:pStyle w:val="Nidung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xóa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bỏ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bạo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(25/11)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ngừa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bạo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CD2840" w:rsidRPr="00CD2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840" w:rsidRPr="00CD2840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</w:p>
    <w:p w:rsidR="004953C5" w:rsidRDefault="004953C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rôn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phích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84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D2840">
        <w:rPr>
          <w:rFonts w:ascii="Times New Roman" w:hAnsi="Times New Roman" w:cs="Times New Roman"/>
          <w:sz w:val="28"/>
          <w:szCs w:val="28"/>
        </w:rPr>
        <w:t>.</w:t>
      </w:r>
    </w:p>
    <w:p w:rsidR="00CD2840" w:rsidRDefault="00CD2840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3615" w:rsidRDefault="0034361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3615" w:rsidRDefault="0034361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25/11</w:t>
      </w:r>
      <w:r>
        <w:rPr>
          <w:rFonts w:ascii="Times New Roman" w:hAnsi="Times New Roman" w:cs="Times New Roman"/>
          <w:sz w:val="28"/>
          <w:szCs w:val="28"/>
        </w:rPr>
        <w:t>/2023”;</w:t>
      </w:r>
    </w:p>
    <w:p w:rsidR="00343615" w:rsidRDefault="0034361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615" w:rsidRDefault="0034361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>”;</w:t>
      </w:r>
    </w:p>
    <w:p w:rsidR="00343615" w:rsidRDefault="00343615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“Nam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4953C5" w:rsidRDefault="00DD2A9B" w:rsidP="00343615">
      <w:pPr>
        <w:pStyle w:val="Nidung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95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3C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61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3615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343615">
        <w:rPr>
          <w:rFonts w:ascii="Times New Roman" w:hAnsi="Times New Roman" w:cs="Times New Roman"/>
          <w:sz w:val="28"/>
          <w:szCs w:val="28"/>
        </w:rPr>
        <w:t xml:space="preserve"> </w:t>
      </w:r>
      <w:r w:rsidR="004953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3C5">
        <w:rPr>
          <w:rFonts w:ascii="Times New Roman" w:hAnsi="Times New Roman" w:cs="Times New Roman"/>
          <w:sz w:val="28"/>
          <w:szCs w:val="28"/>
        </w:rPr>
        <w:t xml:space="preserve">/.    </w:t>
      </w:r>
    </w:p>
    <w:p w:rsidR="004953C5" w:rsidRDefault="004953C5" w:rsidP="00343615">
      <w:pPr>
        <w:pStyle w:val="Nidung"/>
        <w:spacing w:before="120"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4953C5" w:rsidTr="004953C5">
        <w:tc>
          <w:tcPr>
            <w:tcW w:w="5670" w:type="dxa"/>
          </w:tcPr>
          <w:p w:rsidR="004953C5" w:rsidRDefault="004953C5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953C5" w:rsidRDefault="004953C5">
            <w:pPr>
              <w:tabs>
                <w:tab w:val="left" w:pos="630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Như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953C5" w:rsidRDefault="00495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4648">
              <w:rPr>
                <w:rFonts w:ascii="Times New Roman" w:hAnsi="Times New Roman" w:cs="Times New Roman"/>
              </w:rPr>
              <w:t>TTUBND/Q;</w:t>
            </w:r>
          </w:p>
          <w:p w:rsidR="00505204" w:rsidRDefault="005052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24648">
              <w:rPr>
                <w:rFonts w:ascii="Times New Roman" w:hAnsi="Times New Roman" w:cs="Times New Roman"/>
              </w:rPr>
              <w:t>VHTT;</w:t>
            </w:r>
          </w:p>
          <w:p w:rsidR="004953C5" w:rsidRDefault="00495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5204">
              <w:rPr>
                <w:rFonts w:ascii="Times New Roman" w:hAnsi="Times New Roman" w:cs="Times New Roman"/>
              </w:rPr>
              <w:t>BLĐ PGDĐT;</w:t>
            </w:r>
          </w:p>
          <w:p w:rsidR="004953C5" w:rsidRDefault="004953C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Lưu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224648">
              <w:rPr>
                <w:rFonts w:ascii="Times New Roman" w:hAnsi="Times New Roman" w:cs="Times New Roman"/>
              </w:rPr>
              <w:t xml:space="preserve">VT, </w:t>
            </w:r>
            <w:proofErr w:type="spellStart"/>
            <w:proofErr w:type="gramStart"/>
            <w:r w:rsidR="00224648">
              <w:rPr>
                <w:rFonts w:ascii="Times New Roman" w:hAnsi="Times New Roman" w:cs="Times New Roman"/>
              </w:rPr>
              <w:t>Nghị</w:t>
            </w:r>
            <w:proofErr w:type="spellEnd"/>
            <w:r w:rsidR="002246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53C5" w:rsidRDefault="00224648">
            <w:pPr>
              <w:pStyle w:val="Nidu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3686" w:type="dxa"/>
          </w:tcPr>
          <w:p w:rsidR="004953C5" w:rsidRDefault="00DD2A9B">
            <w:pPr>
              <w:pStyle w:val="Nidu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4953C5" w:rsidRDefault="004953C5">
            <w:pPr>
              <w:pStyle w:val="Nidu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3C5" w:rsidRPr="00B61444" w:rsidRDefault="004953C5">
            <w:pPr>
              <w:pStyle w:val="Nidu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C5" w:rsidRDefault="004953C5">
            <w:pPr>
              <w:pStyle w:val="Nidu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04" w:rsidRDefault="00505204">
            <w:pPr>
              <w:pStyle w:val="Nidu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648" w:rsidRPr="00505204" w:rsidRDefault="00224648">
            <w:pPr>
              <w:pStyle w:val="Nidu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Quang</w:t>
            </w:r>
            <w:proofErr w:type="spellEnd"/>
          </w:p>
        </w:tc>
      </w:tr>
    </w:tbl>
    <w:p w:rsidR="004953C5" w:rsidRDefault="00224648" w:rsidP="004953C5">
      <w:pPr>
        <w:pStyle w:val="Nidu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547B8" w:rsidRDefault="00F547B8">
      <w:bookmarkStart w:id="0" w:name="_GoBack"/>
      <w:bookmarkEnd w:id="0"/>
    </w:p>
    <w:sectPr w:rsidR="00F547B8" w:rsidSect="00AA2C74">
      <w:pgSz w:w="11906" w:h="16838" w:code="9"/>
      <w:pgMar w:top="1134" w:right="1134" w:bottom="1134" w:left="147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239"/>
    <w:multiLevelType w:val="hybridMultilevel"/>
    <w:tmpl w:val="6CFC7100"/>
    <w:lvl w:ilvl="0" w:tplc="A0043C36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5"/>
    <w:rsid w:val="00012464"/>
    <w:rsid w:val="00022CE2"/>
    <w:rsid w:val="00084453"/>
    <w:rsid w:val="000C0D61"/>
    <w:rsid w:val="00116BAD"/>
    <w:rsid w:val="001531F4"/>
    <w:rsid w:val="001559AD"/>
    <w:rsid w:val="001A61A9"/>
    <w:rsid w:val="00224648"/>
    <w:rsid w:val="00236ADF"/>
    <w:rsid w:val="002A307C"/>
    <w:rsid w:val="002C013C"/>
    <w:rsid w:val="002D6FA4"/>
    <w:rsid w:val="0030427E"/>
    <w:rsid w:val="00343615"/>
    <w:rsid w:val="00387E42"/>
    <w:rsid w:val="003C5CD9"/>
    <w:rsid w:val="003E0425"/>
    <w:rsid w:val="0049011E"/>
    <w:rsid w:val="004953C5"/>
    <w:rsid w:val="004F4C97"/>
    <w:rsid w:val="004F5358"/>
    <w:rsid w:val="004F7766"/>
    <w:rsid w:val="00505204"/>
    <w:rsid w:val="00526F2F"/>
    <w:rsid w:val="00586919"/>
    <w:rsid w:val="005D1FA6"/>
    <w:rsid w:val="005E3CE1"/>
    <w:rsid w:val="00683076"/>
    <w:rsid w:val="006938A8"/>
    <w:rsid w:val="006B281B"/>
    <w:rsid w:val="00712B88"/>
    <w:rsid w:val="00734264"/>
    <w:rsid w:val="007939B3"/>
    <w:rsid w:val="007B0550"/>
    <w:rsid w:val="007D2F3C"/>
    <w:rsid w:val="007D7B59"/>
    <w:rsid w:val="007F75D0"/>
    <w:rsid w:val="008245BA"/>
    <w:rsid w:val="008634EF"/>
    <w:rsid w:val="00874BA0"/>
    <w:rsid w:val="0089781D"/>
    <w:rsid w:val="008A002E"/>
    <w:rsid w:val="008A7597"/>
    <w:rsid w:val="008D09BC"/>
    <w:rsid w:val="009A328D"/>
    <w:rsid w:val="009F049F"/>
    <w:rsid w:val="00A01D5E"/>
    <w:rsid w:val="00A15509"/>
    <w:rsid w:val="00A9485D"/>
    <w:rsid w:val="00AA2C74"/>
    <w:rsid w:val="00AD3E5D"/>
    <w:rsid w:val="00B50287"/>
    <w:rsid w:val="00B61444"/>
    <w:rsid w:val="00B75F97"/>
    <w:rsid w:val="00BE1190"/>
    <w:rsid w:val="00C1388B"/>
    <w:rsid w:val="00C30C86"/>
    <w:rsid w:val="00CA6012"/>
    <w:rsid w:val="00CC282C"/>
    <w:rsid w:val="00CD2840"/>
    <w:rsid w:val="00CE3535"/>
    <w:rsid w:val="00CE4336"/>
    <w:rsid w:val="00D234FB"/>
    <w:rsid w:val="00D36A44"/>
    <w:rsid w:val="00DB35E2"/>
    <w:rsid w:val="00DD2A9B"/>
    <w:rsid w:val="00E32494"/>
    <w:rsid w:val="00E50076"/>
    <w:rsid w:val="00E532E4"/>
    <w:rsid w:val="00E76EBE"/>
    <w:rsid w:val="00E97F79"/>
    <w:rsid w:val="00F25562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2920"/>
  <w15:chartTrackingRefBased/>
  <w15:docId w15:val="{14292198-4FC3-4755-B25F-996D121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3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C5"/>
    <w:pPr>
      <w:ind w:left="720"/>
      <w:contextualSpacing/>
    </w:pPr>
  </w:style>
  <w:style w:type="paragraph" w:customStyle="1" w:styleId="Nidung">
    <w:name w:val="Nội dung"/>
    <w:rsid w:val="004953C5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49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MrNghi</cp:lastModifiedBy>
  <cp:revision>5</cp:revision>
  <cp:lastPrinted>2023-11-09T01:37:00Z</cp:lastPrinted>
  <dcterms:created xsi:type="dcterms:W3CDTF">2020-05-14T07:12:00Z</dcterms:created>
  <dcterms:modified xsi:type="dcterms:W3CDTF">2023-11-09T01:40:00Z</dcterms:modified>
</cp:coreProperties>
</file>